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Heading1"/>
      </w:pPr>
      <w:r>
        <w:t/>
      </w:r>
      <w:r>
        <w:t xml:space="preserve"/>
      </w:r>
      <w:r>
        <w:t xml:space="preserve">Fisher-type Panel Unit Root Test (ADF) - AsiaDiaspo (Level)</w:t>
      </w:r>
    </w:p>
    <w:tbl>
      <w:tblPr>
        <w:tblStyle w:val="TableGrid"/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t xml:space="preserve">Test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p-value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chi-squared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2.3410e-11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normal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.009818979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Inverse logit t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2.3265e-08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t xml:space="preserve">Modified inverse chi-squared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t xml:space="preserve">0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